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lastRenderedPageBreak/>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34739D" w:rsidRDefault="0034739D" w:rsidP="0034739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rsidR="0034739D" w:rsidRPr="00053E0F" w:rsidRDefault="0034739D" w:rsidP="0034739D">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rsidR="0034739D" w:rsidRPr="00053E0F" w:rsidRDefault="0034739D" w:rsidP="0034739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rsidR="0034739D" w:rsidRPr="00053E0F" w:rsidRDefault="0034739D" w:rsidP="0034739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rsidR="00DB064D" w:rsidRPr="00053E0F" w:rsidRDefault="00DB064D" w:rsidP="00DB064D">
      <w:pPr>
        <w:rPr>
          <w:rFonts w:ascii="Arial" w:hAnsi="Arial" w:cs="Arial"/>
          <w:sz w:val="18"/>
          <w:szCs w:val="18"/>
        </w:rPr>
      </w:pPr>
      <w:bookmarkStart w:id="0" w:name="_GoBack"/>
      <w:bookmarkEnd w:id="0"/>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w:t>
      </w:r>
      <w:r w:rsidR="00776507">
        <w:rPr>
          <w:rFonts w:ascii="Arial" w:hAnsi="Arial" w:cs="Arial"/>
          <w:sz w:val="18"/>
          <w:szCs w:val="18"/>
        </w:rPr>
        <w:t>16</w:t>
      </w:r>
      <w:r w:rsidRPr="00053E0F">
        <w:rPr>
          <w:rFonts w:ascii="Arial" w:hAnsi="Arial" w:cs="Arial"/>
          <w:sz w:val="18"/>
          <w:szCs w:val="18"/>
        </w:rPr>
        <w:t xml:space="preserve">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776507" w:rsidRPr="00053E0F" w:rsidRDefault="00776507" w:rsidP="00776507">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Pr>
          <w:rFonts w:ascii="Arial" w:hAnsi="Arial" w:cs="Arial"/>
          <w:sz w:val="18"/>
          <w:szCs w:val="18"/>
        </w:rPr>
        <w:t>. Gray CPVC backer slat</w:t>
      </w:r>
    </w:p>
    <w:p w:rsidR="00776507" w:rsidRPr="00053E0F" w:rsidRDefault="00776507" w:rsidP="00DB064D">
      <w:pPr>
        <w:ind w:left="3600" w:hanging="720"/>
        <w:rPr>
          <w:rFonts w:ascii="Arial" w:hAnsi="Arial" w:cs="Arial"/>
          <w:sz w:val="18"/>
          <w:szCs w:val="18"/>
        </w:rPr>
      </w:pP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w:t>
      </w:r>
      <w:r>
        <w:rPr>
          <w:rFonts w:ascii="Arial" w:hAnsi="Arial" w:cs="Arial"/>
          <w:sz w:val="18"/>
          <w:szCs w:val="18"/>
        </w:rPr>
        <w:lastRenderedPageBreak/>
        <w:t xml:space="preserve">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776507" w:rsidRDefault="00DB064D" w:rsidP="00776507">
      <w:pPr>
        <w:pStyle w:val="ListParagraph"/>
        <w:numPr>
          <w:ilvl w:val="0"/>
          <w:numId w:val="7"/>
        </w:numPr>
        <w:rPr>
          <w:rFonts w:ascii="Arial" w:hAnsi="Arial" w:cs="Arial"/>
          <w:sz w:val="18"/>
          <w:szCs w:val="18"/>
        </w:rPr>
      </w:pPr>
      <w:r w:rsidRPr="00776507">
        <w:rPr>
          <w:rFonts w:ascii="Arial" w:hAnsi="Arial" w:cs="Arial"/>
          <w:b/>
          <w:sz w:val="18"/>
          <w:szCs w:val="18"/>
        </w:rPr>
        <w:t>Stainless Steel:</w:t>
      </w:r>
      <w:r w:rsidRPr="00776507">
        <w:rPr>
          <w:rFonts w:ascii="Arial" w:hAnsi="Arial" w:cs="Arial"/>
          <w:sz w:val="18"/>
          <w:szCs w:val="18"/>
        </w:rPr>
        <w:t xml:space="preserve"> type 3</w:t>
      </w:r>
      <w:r w:rsidR="00776507">
        <w:rPr>
          <w:rFonts w:ascii="Arial" w:hAnsi="Arial" w:cs="Arial"/>
          <w:sz w:val="18"/>
          <w:szCs w:val="18"/>
        </w:rPr>
        <w:t>16</w:t>
      </w:r>
      <w:r w:rsidRPr="00776507">
        <w:rPr>
          <w:rFonts w:ascii="Arial" w:hAnsi="Arial" w:cs="Arial"/>
          <w:sz w:val="18"/>
          <w:szCs w:val="18"/>
        </w:rPr>
        <w:t xml:space="preserve"> #4 finish</w:t>
      </w:r>
      <w:r w:rsidRPr="00776507">
        <w:rPr>
          <w:rFonts w:ascii="Arial" w:hAnsi="Arial" w:cs="Arial"/>
          <w:sz w:val="18"/>
          <w:szCs w:val="18"/>
        </w:rPr>
        <w:tab/>
      </w:r>
    </w:p>
    <w:p w:rsidR="00776507" w:rsidRPr="00776507" w:rsidRDefault="00776507" w:rsidP="00776507">
      <w:pPr>
        <w:ind w:left="2160"/>
        <w:rPr>
          <w:rFonts w:ascii="Arial" w:hAnsi="Arial" w:cs="Arial"/>
          <w:sz w:val="18"/>
          <w:szCs w:val="18"/>
        </w:rPr>
      </w:pPr>
      <w:r w:rsidRPr="00776507">
        <w:rPr>
          <w:rFonts w:ascii="Arial" w:hAnsi="Arial" w:cs="Arial"/>
          <w:sz w:val="18"/>
          <w:szCs w:val="18"/>
        </w:rPr>
        <w:t>a.</w:t>
      </w:r>
      <w:r w:rsidRPr="00776507">
        <w:rPr>
          <w:rFonts w:ascii="Arial" w:hAnsi="Arial" w:cs="Arial"/>
          <w:sz w:val="18"/>
          <w:szCs w:val="18"/>
        </w:rPr>
        <w:tab/>
      </w:r>
      <w:r w:rsidRPr="00776507">
        <w:rPr>
          <w:rFonts w:ascii="Arial" w:hAnsi="Arial" w:cs="Arial"/>
          <w:b/>
          <w:sz w:val="18"/>
          <w:szCs w:val="18"/>
        </w:rPr>
        <w:t>Stainless Steel:</w:t>
      </w:r>
      <w:r w:rsidRPr="00776507">
        <w:rPr>
          <w:rFonts w:ascii="Arial" w:hAnsi="Arial" w:cs="Arial"/>
          <w:sz w:val="18"/>
          <w:szCs w:val="18"/>
        </w:rPr>
        <w:t xml:space="preserve"> type 304 #4 finish</w:t>
      </w:r>
      <w:r w:rsidRPr="00776507">
        <w:rPr>
          <w:rFonts w:ascii="Arial" w:hAnsi="Arial" w:cs="Arial"/>
          <w:sz w:val="18"/>
          <w:szCs w:val="18"/>
        </w:rPr>
        <w:tab/>
      </w:r>
    </w:p>
    <w:p w:rsidR="00776507" w:rsidRPr="00776507" w:rsidRDefault="00776507" w:rsidP="00776507">
      <w:pPr>
        <w:pStyle w:val="ListParagraph"/>
        <w:ind w:left="2880"/>
        <w:rPr>
          <w:rFonts w:ascii="Arial" w:hAnsi="Arial" w:cs="Arial"/>
          <w:sz w:val="18"/>
          <w:szCs w:val="18"/>
        </w:rPr>
      </w:pP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w:t>
      </w:r>
      <w:r w:rsidR="00776507">
        <w:rPr>
          <w:rFonts w:ascii="Arial" w:hAnsi="Arial" w:cs="Arial"/>
          <w:sz w:val="18"/>
          <w:szCs w:val="18"/>
        </w:rPr>
        <w:t>16</w:t>
      </w:r>
      <w:r w:rsidRPr="00A55423">
        <w:rPr>
          <w:rFonts w:ascii="Arial" w:hAnsi="Arial" w:cs="Arial"/>
          <w:sz w:val="18"/>
          <w:szCs w:val="18"/>
        </w:rPr>
        <w:t xml:space="preserve"> #4 finish</w:t>
      </w:r>
    </w:p>
    <w:p w:rsidR="00776507" w:rsidRPr="00A55423" w:rsidRDefault="00776507" w:rsidP="00776507">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lastRenderedPageBreak/>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776507" w:rsidRPr="0037243E"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776507">
        <w:rPr>
          <w:rFonts w:ascii="Arial" w:hAnsi="Arial" w:cs="Arial"/>
          <w:b/>
          <w:sz w:val="18"/>
          <w:szCs w:val="18"/>
        </w:rPr>
        <w:t>:</w:t>
      </w:r>
      <w:r w:rsidRPr="00776507">
        <w:rPr>
          <w:rFonts w:ascii="Arial" w:hAnsi="Arial" w:cs="Arial"/>
          <w:sz w:val="18"/>
          <w:szCs w:val="18"/>
        </w:rPr>
        <w:t xml:space="preserve"> #4 type 316</w:t>
      </w:r>
      <w:r>
        <w:rPr>
          <w:rFonts w:ascii="Arial" w:hAnsi="Arial" w:cs="Arial"/>
          <w:sz w:val="18"/>
          <w:szCs w:val="18"/>
        </w:rPr>
        <w:t xml:space="preserve"> finish</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sidR="00776507">
        <w:rPr>
          <w:rFonts w:ascii="Arial" w:hAnsi="Arial" w:cs="Arial"/>
          <w:sz w:val="18"/>
          <w:szCs w:val="18"/>
        </w:rPr>
        <w:t>16</w:t>
      </w:r>
      <w:r w:rsidRPr="00217068">
        <w:rPr>
          <w:rFonts w:ascii="Arial" w:hAnsi="Arial" w:cs="Arial"/>
          <w:sz w:val="18"/>
          <w:szCs w:val="18"/>
        </w:rPr>
        <w:t xml:space="preserve"> #4 finish</w:t>
      </w:r>
    </w:p>
    <w:p w:rsidR="00776507" w:rsidRPr="00217068"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lastRenderedPageBreak/>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w:t>
      </w:r>
      <w:r w:rsidRPr="00E0755B">
        <w:rPr>
          <w:rFonts w:ascii="Arial" w:hAnsi="Arial" w:cs="Arial"/>
          <w:sz w:val="18"/>
          <w:szCs w:val="18"/>
        </w:rPr>
        <w:lastRenderedPageBreak/>
        <w:t>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 xml:space="preserve">Provide monitored, non-contact light curtain consisting of a transmitter and a receiver to </w:t>
      </w:r>
      <w:r>
        <w:rPr>
          <w:rFonts w:ascii="Arial" w:hAnsi="Arial" w:cs="Arial"/>
          <w:bCs/>
          <w:sz w:val="18"/>
          <w:szCs w:val="18"/>
        </w:rPr>
        <w:lastRenderedPageBreak/>
        <w:t>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lastRenderedPageBreak/>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1D519B"/>
    <w:multiLevelType w:val="hybridMultilevel"/>
    <w:tmpl w:val="FFFAB742"/>
    <w:lvl w:ilvl="0" w:tplc="26E461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4739D"/>
    <w:rsid w:val="0037243E"/>
    <w:rsid w:val="003B5405"/>
    <w:rsid w:val="004031B2"/>
    <w:rsid w:val="004735A7"/>
    <w:rsid w:val="004C53E7"/>
    <w:rsid w:val="0067096C"/>
    <w:rsid w:val="006A535F"/>
    <w:rsid w:val="007060E9"/>
    <w:rsid w:val="00720BA4"/>
    <w:rsid w:val="00754101"/>
    <w:rsid w:val="00776507"/>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5236</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Afton Bandru</cp:lastModifiedBy>
  <cp:revision>3</cp:revision>
  <dcterms:created xsi:type="dcterms:W3CDTF">2025-04-22T15:31:00Z</dcterms:created>
  <dcterms:modified xsi:type="dcterms:W3CDTF">2025-05-06T16:43:00Z</dcterms:modified>
</cp:coreProperties>
</file>